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E0" w:rsidRPr="00FE638E" w:rsidRDefault="00340CE0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-335280</wp:posOffset>
            </wp:positionV>
            <wp:extent cx="2452904" cy="1295400"/>
            <wp:effectExtent l="0" t="0" r="5080" b="0"/>
            <wp:wrapNone/>
            <wp:docPr id="2" name="Obraz 2" descr="C:\Users\kskorupa\Desktop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korupa\Desktop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904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3DAF" w:rsidRPr="00FE638E" w:rsidRDefault="00AD3DAF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191922" w:rsidRPr="00FE638E" w:rsidRDefault="003247D5" w:rsidP="00FE638E">
      <w:pPr>
        <w:spacing w:after="0" w:line="240" w:lineRule="auto"/>
        <w:outlineLvl w:val="1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PROGRAM „AKTYWNY SAMORZĄD” </w:t>
      </w:r>
      <w:r w:rsidR="00340CE0" w:rsidRPr="00FE638E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– MODUŁ I</w:t>
      </w:r>
    </w:p>
    <w:p w:rsidR="00B45C8E" w:rsidRPr="00FE638E" w:rsidRDefault="00B45C8E" w:rsidP="00FE638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OBSZAR </w:t>
      </w:r>
      <w:r w:rsidR="00FE638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</w:t>
      </w:r>
      <w:r w:rsidR="0039755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– Zadanie 5</w:t>
      </w:r>
    </w:p>
    <w:p w:rsidR="00FE638E" w:rsidRPr="00FE638E" w:rsidRDefault="00397555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Pomoc w utrzymaniu sprawności technicznej posiadanego sprzętu elektronicznego,  adresowana do osób z orzeczeniem o niepełnosprawności (do 16 roku życia) lub osób ze znacznym stopniem niepełnosprawności</w:t>
      </w:r>
    </w:p>
    <w:p w:rsidR="00D5399B" w:rsidRPr="00FE638E" w:rsidRDefault="00F532C3" w:rsidP="00FE638E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  <w:lang w:eastAsia="pl-PL"/>
        </w:rPr>
        <w:pict>
          <v:line id="Łącznik prostoliniowy 1" o:spid="_x0000_s1026" style="position:absolute;z-index:251660288;visibility:visible;mso-width-relative:margin" from="-10.2pt,9.35pt" to="53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7a0AEAANwDAAAOAAAAZHJzL2Uyb0RvYy54bWysU01v1DAQvSPxH6zc2WQD2q2izfbQCi4I&#10;VkB/gOuMNxa2x7LNJuHGgX8G/4uxs00rQKqKuDj+mDfz3pvJ7nI0mp3AB4W2LdarqmBgBXbKHtvi&#10;5tPrFxcFC5Hbjmu00BYThOJy//zZbnAN1Nij7sAzSmJDM7i26GN0TVkG0YPhYYUOLD1K9IZHOvpj&#10;2Xk+UHajy7qqNuWAvnMeBYRAt9fzY7HP+aUEEd9LGSAy3RbELebV5/U2reV+x5uj565X4kyD/wML&#10;w5Wlokuqax45++LVH6mMEh4DyrgSaEqUUgnIGkjNuvpNzceeO8hayJzgFpvC/0sr3p0OnqmOelcw&#10;yw216Oe3H9/FV6s+M/I1RNTKKhwmtk5mDS40hLmyB38+BXfwSfkovUlf0sTGbPC0GAxjZIIuNxfb&#10;l/Ur6oOgt+2mzv6X91jnQ3wDaKhyoFZR5SSfN/z0NkSqR6F3IelaWzYQ8XpbzYkSuZlO3sVJwxz2&#10;ASRpJALrnC5PF1xpz06c5oILATZmeVRAW4pOMKm0XoDV48BzfIJCnryngBdErow2LmCjLPq/VY/j&#10;HWU5x5M/D3Sn7S12U25UfqARyhaexz3N6MNzht//lPtfAAAA//8DAFBLAwQUAAYACAAAACEAMWJC&#10;Dd4AAAAKAQAADwAAAGRycy9kb3ducmV2LnhtbEyPwU7DMBBE70j8g7VI3FqbCLVNiFMhJECcgFCp&#10;4ubGSxLVXofYbcPfsz3BbVczmnlTrifvxBHH2AfScDNXIJCaYHtqNWw+HmcrEDEZssYFQg0/GGFd&#10;XV6UprDhRO94rFMrOIRiYTR0KQ2FlLHp0Js4DwMSa19h9CbxO7bSjubE4d7JTKmF9KYnbujMgA8d&#10;Nvv64LnkeflCmzfMe/XtXuOn2e6f6q3W11fT/R2IhFP6M8MZn9GhYqZdOJCNwmmYZeqWrSysliDO&#10;BrXIeN2OrzwHWZXy/4TqFwAA//8DAFBLAQItABQABgAIAAAAIQC2gziS/gAAAOEBAAATAAAAAAAA&#10;AAAAAAAAAAAAAABbQ29udGVudF9UeXBlc10ueG1sUEsBAi0AFAAGAAgAAAAhADj9If/WAAAAlAEA&#10;AAsAAAAAAAAAAAAAAAAALwEAAF9yZWxzLy5yZWxzUEsBAi0AFAAGAAgAAAAhAFMQntrQAQAA3AMA&#10;AA4AAAAAAAAAAAAAAAAALgIAAGRycy9lMm9Eb2MueG1sUEsBAi0AFAAGAAgAAAAhADFiQg3eAAAA&#10;CgEAAA8AAAAAAAAAAAAAAAAAKgQAAGRycy9kb3ducmV2LnhtbFBLBQYAAAAABAAEAPMAAAA1BQAA&#10;AAA=&#10;" strokecolor="#4579b8 [3044]" strokeweight="1pt"/>
        </w:pict>
      </w:r>
    </w:p>
    <w:p w:rsid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WARUNKI UCZESTNICTWA</w:t>
      </w:r>
      <w:r w:rsidR="002F3101">
        <w:rPr>
          <w:rFonts w:asciiTheme="majorHAnsi" w:hAnsiTheme="majorHAnsi"/>
          <w:b/>
          <w:color w:val="FF0000"/>
        </w:rPr>
        <w:t>:</w:t>
      </w:r>
    </w:p>
    <w:p w:rsidR="00FE638E" w:rsidRPr="00FE638E" w:rsidRDefault="00FE638E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 xml:space="preserve">znaczny stopień niepełnosprawności lub </w:t>
      </w:r>
      <w:r w:rsidR="005B2F44">
        <w:rPr>
          <w:rFonts w:asciiTheme="majorHAnsi" w:hAnsiTheme="majorHAnsi"/>
        </w:rPr>
        <w:t xml:space="preserve">w przypadku osób do 16 roku życia - </w:t>
      </w:r>
      <w:r w:rsidRPr="00FE638E">
        <w:rPr>
          <w:rFonts w:asciiTheme="majorHAnsi" w:hAnsiTheme="majorHAnsi"/>
        </w:rPr>
        <w:t xml:space="preserve">orzeczenie </w:t>
      </w:r>
      <w:r w:rsidR="005B2F44">
        <w:rPr>
          <w:rFonts w:asciiTheme="majorHAnsi" w:hAnsiTheme="majorHAnsi"/>
        </w:rPr>
        <w:t xml:space="preserve">          </w:t>
      </w:r>
      <w:r w:rsidRPr="00FE638E">
        <w:rPr>
          <w:rFonts w:asciiTheme="majorHAnsi" w:hAnsiTheme="majorHAnsi"/>
        </w:rPr>
        <w:t>o niepełnosprawności</w:t>
      </w:r>
      <w:r w:rsidR="005B2F44">
        <w:rPr>
          <w:rFonts w:asciiTheme="majorHAnsi" w:hAnsiTheme="majorHAnsi"/>
        </w:rPr>
        <w:t>,</w:t>
      </w:r>
    </w:p>
    <w:p w:rsidR="00FE638E" w:rsidRPr="00FE638E" w:rsidRDefault="00397555" w:rsidP="00FE638E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pomoc udzielona w Zadaniu: 1,3 lub 4</w:t>
      </w:r>
    </w:p>
    <w:p w:rsidR="00FE638E" w:rsidRPr="00FE638E" w:rsidRDefault="00FE638E" w:rsidP="00397555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color w:val="FF0000"/>
        </w:rPr>
      </w:pPr>
      <w:r w:rsidRPr="00FE638E">
        <w:rPr>
          <w:rFonts w:asciiTheme="majorHAnsi" w:hAnsiTheme="majorHAnsi"/>
          <w:b/>
          <w:color w:val="FF0000"/>
        </w:rPr>
        <w:t>DOFINANSOWANIE</w:t>
      </w:r>
      <w:r w:rsidR="00E2643B">
        <w:rPr>
          <w:rFonts w:asciiTheme="majorHAnsi" w:hAnsiTheme="majorHAnsi"/>
          <w:b/>
          <w:color w:val="FF0000"/>
        </w:rPr>
        <w:t xml:space="preserve"> LUB REFUNDACJA</w:t>
      </w:r>
      <w:r w:rsidR="002F3101">
        <w:rPr>
          <w:rFonts w:asciiTheme="majorHAnsi" w:hAnsiTheme="majorHAnsi"/>
          <w:b/>
          <w:color w:val="FF0000"/>
        </w:rPr>
        <w:t>:</w:t>
      </w:r>
    </w:p>
    <w:p w:rsidR="00FE638E" w:rsidRPr="00397555" w:rsidRDefault="00FE638E" w:rsidP="00397555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</w:rPr>
        <w:t>Maksymalna kwota dofinansowania:</w:t>
      </w:r>
      <w:r w:rsidR="00397555">
        <w:rPr>
          <w:rFonts w:asciiTheme="majorHAnsi" w:hAnsiTheme="majorHAnsi"/>
        </w:rPr>
        <w:t xml:space="preserve"> 1.</w:t>
      </w:r>
      <w:r w:rsidR="00BE4DA8">
        <w:rPr>
          <w:rFonts w:asciiTheme="majorHAnsi" w:hAnsiTheme="majorHAnsi"/>
        </w:rPr>
        <w:t>65</w:t>
      </w:r>
      <w:r w:rsidR="00397555">
        <w:rPr>
          <w:rFonts w:asciiTheme="majorHAnsi" w:hAnsiTheme="majorHAnsi"/>
        </w:rPr>
        <w:t>0</w:t>
      </w:r>
      <w:r w:rsidR="00BE4DA8">
        <w:rPr>
          <w:rFonts w:asciiTheme="majorHAnsi" w:hAnsiTheme="majorHAnsi"/>
        </w:rPr>
        <w:t xml:space="preserve"> </w:t>
      </w:r>
      <w:r w:rsidR="00397555">
        <w:rPr>
          <w:rFonts w:asciiTheme="majorHAnsi" w:hAnsiTheme="majorHAnsi"/>
        </w:rPr>
        <w:t>zł</w:t>
      </w:r>
    </w:p>
    <w:p w:rsidR="00E2643B" w:rsidRPr="00E2643B" w:rsidRDefault="00E2643B" w:rsidP="00E2643B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Refundacja pon</w:t>
      </w:r>
      <w:r w:rsidR="002B497D">
        <w:rPr>
          <w:rFonts w:asciiTheme="majorHAnsi" w:eastAsia="Times New Roman" w:hAnsiTheme="majorHAnsi" w:cs="Times New Roman"/>
          <w:sz w:val="24"/>
          <w:szCs w:val="24"/>
          <w:lang w:eastAsia="pl-PL"/>
        </w:rPr>
        <w:t>iesionych kosztów może dotyczyć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2643B">
        <w:rPr>
          <w:rFonts w:asciiTheme="majorHAnsi" w:eastAsia="Times New Roman" w:hAnsiTheme="majorHAnsi" w:cs="Times New Roman"/>
          <w:sz w:val="24"/>
          <w:szCs w:val="24"/>
          <w:lang w:eastAsia="pl-PL"/>
        </w:rPr>
        <w:t>kosztów poniesionych po zawar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ciu umowy dofinansowania</w:t>
      </w:r>
      <w:r w:rsidR="00397555">
        <w:rPr>
          <w:rFonts w:asciiTheme="majorHAnsi" w:eastAsia="Times New Roman" w:hAnsiTheme="majorHAnsi" w:cs="Times New Roman"/>
          <w:sz w:val="24"/>
          <w:szCs w:val="24"/>
          <w:lang w:eastAsia="pl-PL"/>
        </w:rPr>
        <w:t>, a także</w:t>
      </w:r>
      <w:r w:rsidR="00397555" w:rsidRPr="00BA722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kosztów poniesionych do 180 d</w:t>
      </w:r>
      <w:r w:rsidR="00397555">
        <w:rPr>
          <w:rFonts w:asciiTheme="majorHAnsi" w:eastAsia="Times New Roman" w:hAnsiTheme="majorHAnsi" w:cs="Times New Roman"/>
          <w:sz w:val="24"/>
          <w:szCs w:val="24"/>
          <w:lang w:eastAsia="pl-PL"/>
        </w:rPr>
        <w:t>ni przed dniem złożenia wniosku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UDZIAŁ WŁASNY:</w:t>
      </w:r>
      <w:r w:rsidRPr="00FE638E">
        <w:rPr>
          <w:rFonts w:asciiTheme="majorHAnsi" w:hAnsiTheme="majorHAnsi"/>
          <w:color w:val="FF0000"/>
        </w:rPr>
        <w:t xml:space="preserve"> </w:t>
      </w:r>
      <w:r w:rsidRPr="00FE638E">
        <w:rPr>
          <w:rFonts w:asciiTheme="majorHAnsi" w:hAnsiTheme="majorHAnsi"/>
        </w:rPr>
        <w:t>10% ceny brutto zakupu/usługi;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  <w:r w:rsidRPr="00FE638E">
        <w:rPr>
          <w:rFonts w:asciiTheme="majorHAnsi" w:hAnsiTheme="majorHAnsi"/>
          <w:b/>
          <w:color w:val="FF0000"/>
        </w:rPr>
        <w:t>CZĘSTOTLIWOŚĆ UDZIELANIA POMOCY</w:t>
      </w:r>
      <w:r w:rsidR="00397555">
        <w:rPr>
          <w:rFonts w:asciiTheme="majorHAnsi" w:hAnsiTheme="majorHAnsi"/>
        </w:rPr>
        <w:t>: po zakończeniu</w:t>
      </w:r>
      <w:r w:rsidR="00372DBA">
        <w:rPr>
          <w:rFonts w:asciiTheme="majorHAnsi" w:hAnsiTheme="majorHAnsi"/>
        </w:rPr>
        <w:t xml:space="preserve"> okresu gwarancji na przedmiot/</w:t>
      </w:r>
      <w:r w:rsidR="00397555">
        <w:rPr>
          <w:rFonts w:asciiTheme="majorHAnsi" w:hAnsiTheme="majorHAnsi"/>
        </w:rPr>
        <w:t>usługę wcześniej dofinansowaną</w:t>
      </w:r>
      <w:r w:rsidR="00372DBA">
        <w:rPr>
          <w:rFonts w:asciiTheme="majorHAnsi" w:hAnsiTheme="majorHAnsi"/>
        </w:rPr>
        <w:t>;</w:t>
      </w:r>
    </w:p>
    <w:p w:rsidR="00FE638E" w:rsidRPr="00FE638E" w:rsidRDefault="00FE638E" w:rsidP="00FE638E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EB33FA" w:rsidRPr="00372DBA" w:rsidRDefault="00372DBA" w:rsidP="00FE63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FF0000"/>
          <w:sz w:val="24"/>
          <w:szCs w:val="24"/>
        </w:rPr>
        <w:t xml:space="preserve">KOSZTY UTRZYMANIA SPRAWNOŚCI TECHNICZNEJ POSIADANEGO SPRZĘTU ELEKTRONICZNEGO </w:t>
      </w:r>
      <w:r w:rsidRPr="00372DBA">
        <w:rPr>
          <w:rFonts w:asciiTheme="majorHAnsi" w:hAnsiTheme="majorHAnsi" w:cs="Times New Roman"/>
          <w:bCs/>
          <w:sz w:val="24"/>
          <w:szCs w:val="24"/>
        </w:rPr>
        <w:t>– należy przez to rozumieć koszty związane z utrzymaniem sprawności technicznej sprzętu elektronicznego, w tym koszt zakupu dodatkowych elementów, służących rozbudowie posiadanego sprzętu lub dodatkowego wyposażenia lub oprogramowania</w:t>
      </w:r>
      <w:r w:rsidR="00BF4D1E">
        <w:rPr>
          <w:rFonts w:asciiTheme="majorHAnsi" w:hAnsiTheme="majorHAnsi" w:cs="Times New Roman"/>
          <w:bCs/>
          <w:sz w:val="24"/>
          <w:szCs w:val="24"/>
        </w:rPr>
        <w:t xml:space="preserve"> (w celu osiągnięcia optymalnych</w:t>
      </w:r>
      <w:r w:rsidRPr="00372DBA">
        <w:rPr>
          <w:rFonts w:asciiTheme="majorHAnsi" w:hAnsiTheme="majorHAnsi" w:cs="Times New Roman"/>
          <w:bCs/>
          <w:sz w:val="24"/>
          <w:szCs w:val="24"/>
        </w:rPr>
        <w:t xml:space="preserve"> wymogów technicznych lub dokonania koniecznych aktualizacji, niezbędnych do zachowania funkcjonalności sprzętu lub oprogramowania), a także koszt niezbędnych napr</w:t>
      </w:r>
      <w:r w:rsidR="008C6565">
        <w:rPr>
          <w:rFonts w:asciiTheme="majorHAnsi" w:hAnsiTheme="majorHAnsi" w:cs="Times New Roman"/>
          <w:bCs/>
          <w:sz w:val="24"/>
          <w:szCs w:val="24"/>
        </w:rPr>
        <w:t>aw, przeglądów czy konserwacji; mogą to być również nowsze od tych posiadanych przez wnioskodawcę modele: urządzeń (np. smartfon, tablet, skaner, drukarka, router, itp.) lub wersje oprogramowania (opłata subskrypcyjna, aktualizacja do nowszej wersji) itp.</w:t>
      </w:r>
    </w:p>
    <w:p w:rsidR="00FE638E" w:rsidRDefault="00FE638E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0436E6" w:rsidRDefault="000436E6" w:rsidP="000436E6">
      <w:pPr>
        <w:spacing w:after="0" w:line="240" w:lineRule="auto"/>
        <w:jc w:val="both"/>
        <w:rPr>
          <w:rFonts w:asciiTheme="majorHAnsi" w:hAnsiTheme="majorHAnsi"/>
          <w:b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 xml:space="preserve">Informacje oraz wnioski dostępne są na naszej stronie: </w:t>
      </w:r>
      <w:hyperlink r:id="rId8" w:history="1">
        <w:r>
          <w:rPr>
            <w:rStyle w:val="Hipercze"/>
            <w:rFonts w:asciiTheme="majorHAnsi" w:hAnsiTheme="majorHAnsi"/>
            <w:b/>
            <w:szCs w:val="24"/>
          </w:rPr>
          <w:t>www.pcpr.krasnik.pl</w:t>
        </w:r>
      </w:hyperlink>
    </w:p>
    <w:p w:rsidR="000436E6" w:rsidRDefault="000436E6" w:rsidP="000436E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0436E6" w:rsidRDefault="000436E6" w:rsidP="000436E6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Wnioski można składać w wersji elektronicznej, za pośrednictwem platformy SOW (</w:t>
      </w:r>
      <w:hyperlink r:id="rId9" w:history="1">
        <w:r>
          <w:rPr>
            <w:rStyle w:val="Hipercze"/>
            <w:rFonts w:asciiTheme="majorHAnsi" w:eastAsia="Times New Roman" w:hAnsiTheme="majorHAnsi" w:cs="Times New Roman"/>
            <w:b/>
            <w:bCs/>
            <w:sz w:val="24"/>
            <w:szCs w:val="24"/>
            <w:lang w:eastAsia="pl-PL"/>
          </w:rPr>
          <w:t>https://sow.pfron.org.pl</w:t>
        </w:r>
      </w:hyperlink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), lub w wersji papierowej w siedzibie PCPR w Kraśniku.</w:t>
      </w:r>
    </w:p>
    <w:p w:rsidR="000436E6" w:rsidRDefault="000436E6" w:rsidP="000436E6">
      <w:pPr>
        <w:pStyle w:val="NormalnyWeb"/>
        <w:spacing w:before="0" w:beforeAutospacing="0" w:after="0" w:afterAutospacing="0"/>
        <w:jc w:val="both"/>
        <w:rPr>
          <w:rFonts w:asciiTheme="majorHAnsi" w:hAnsiTheme="majorHAnsi"/>
        </w:rPr>
      </w:pPr>
    </w:p>
    <w:p w:rsidR="00372DBA" w:rsidRDefault="00372DB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372DBA" w:rsidRDefault="00372DB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372DBA" w:rsidRDefault="00372DB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</w:p>
    <w:p w:rsidR="00EB33FA" w:rsidRDefault="00EB33FA" w:rsidP="000436E6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EB33FA" w:rsidRDefault="00EB33FA" w:rsidP="00EB33FA">
      <w:pPr>
        <w:pStyle w:val="NormalnyWeb"/>
        <w:spacing w:before="0" w:beforeAutospacing="0" w:after="0" w:afterAutospacing="0"/>
        <w:rPr>
          <w:rStyle w:val="Pogrubienie"/>
          <w:rFonts w:asciiTheme="majorHAnsi" w:hAnsiTheme="majorHAnsi"/>
        </w:rPr>
      </w:pPr>
    </w:p>
    <w:p w:rsidR="00AD3DAF" w:rsidRDefault="00FC5EC0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</w:rPr>
      </w:pPr>
      <w:r w:rsidRPr="00FE638E">
        <w:rPr>
          <w:rStyle w:val="Pogrubienie"/>
          <w:rFonts w:asciiTheme="majorHAnsi" w:hAnsiTheme="majorHAnsi"/>
        </w:rPr>
        <w:t>SZCZEGÓŁOWE INFORMACJE</w:t>
      </w:r>
    </w:p>
    <w:p w:rsidR="00EB33FA" w:rsidRPr="00EB33FA" w:rsidRDefault="00EB33FA" w:rsidP="00FE638E">
      <w:pPr>
        <w:pStyle w:val="NormalnyWeb"/>
        <w:spacing w:before="0" w:beforeAutospacing="0" w:after="0" w:afterAutospacing="0"/>
        <w:jc w:val="center"/>
        <w:rPr>
          <w:rStyle w:val="Pogrubienie"/>
          <w:rFonts w:asciiTheme="majorHAnsi" w:hAnsiTheme="majorHAnsi"/>
          <w:sz w:val="12"/>
        </w:rPr>
      </w:pPr>
    </w:p>
    <w:p w:rsidR="00FC5EC0" w:rsidRPr="009710D6" w:rsidRDefault="00FC5EC0" w:rsidP="009710D6">
      <w:pPr>
        <w:pStyle w:val="NormalnyWeb"/>
        <w:spacing w:before="0" w:beforeAutospacing="0" w:after="0" w:afterAutospacing="0"/>
        <w:jc w:val="center"/>
        <w:rPr>
          <w:rFonts w:asciiTheme="majorHAnsi" w:hAnsiTheme="majorHAnsi"/>
          <w:bCs/>
        </w:rPr>
      </w:pPr>
      <w:r w:rsidRPr="00FE638E">
        <w:rPr>
          <w:rStyle w:val="Pogrubienie"/>
          <w:rFonts w:asciiTheme="majorHAnsi" w:hAnsiTheme="majorHAnsi"/>
          <w:b w:val="0"/>
        </w:rPr>
        <w:t>Powiatowe Centrum Pomocy Rodzinie</w:t>
      </w:r>
      <w:r w:rsidR="00565C05" w:rsidRPr="00FE638E">
        <w:rPr>
          <w:rStyle w:val="Pogrubienie"/>
          <w:rFonts w:asciiTheme="majorHAnsi" w:hAnsiTheme="majorHAnsi"/>
          <w:b w:val="0"/>
        </w:rPr>
        <w:t xml:space="preserve"> w Kraśniku</w:t>
      </w:r>
      <w:r w:rsidRPr="00FE638E">
        <w:rPr>
          <w:rFonts w:asciiTheme="majorHAnsi" w:hAnsiTheme="majorHAnsi"/>
          <w:b/>
        </w:rPr>
        <w:br/>
      </w:r>
      <w:r w:rsidRPr="00FE638E">
        <w:rPr>
          <w:rStyle w:val="Pogrubienie"/>
          <w:rFonts w:asciiTheme="majorHAnsi" w:hAnsiTheme="majorHAnsi"/>
          <w:b w:val="0"/>
        </w:rPr>
        <w:t>ul. Grunwaldzka 6, 23-2</w:t>
      </w:r>
      <w:r w:rsidR="00565C05" w:rsidRPr="00FE638E">
        <w:rPr>
          <w:rStyle w:val="Pogrubienie"/>
          <w:rFonts w:asciiTheme="majorHAnsi" w:hAnsiTheme="majorHAnsi"/>
          <w:b w:val="0"/>
        </w:rPr>
        <w:t>04</w:t>
      </w:r>
      <w:r w:rsidRPr="00FE638E">
        <w:rPr>
          <w:rStyle w:val="Pogrubienie"/>
          <w:rFonts w:asciiTheme="majorHAnsi" w:hAnsiTheme="majorHAnsi"/>
          <w:b w:val="0"/>
        </w:rPr>
        <w:t xml:space="preserve"> Kraśnik</w:t>
      </w:r>
      <w:bookmarkStart w:id="0" w:name="_GoBack"/>
      <w:bookmarkEnd w:id="0"/>
      <w:r w:rsidRPr="00FE638E">
        <w:rPr>
          <w:rFonts w:asciiTheme="majorHAnsi" w:hAnsiTheme="majorHAnsi"/>
          <w:b/>
        </w:rPr>
        <w:br/>
      </w:r>
      <w:r w:rsidR="00AD3DAF" w:rsidRPr="00FE638E">
        <w:rPr>
          <w:rStyle w:val="Pogrubienie"/>
          <w:rFonts w:asciiTheme="majorHAnsi" w:hAnsiTheme="majorHAnsi"/>
          <w:b w:val="0"/>
        </w:rPr>
        <w:t xml:space="preserve">tel. </w:t>
      </w:r>
      <w:r w:rsidRPr="00FE638E">
        <w:rPr>
          <w:rStyle w:val="Pogrubienie"/>
          <w:rFonts w:asciiTheme="majorHAnsi" w:hAnsiTheme="majorHAnsi"/>
          <w:b w:val="0"/>
        </w:rPr>
        <w:t>81 825 58 80 wew. 23 (pok. 21)</w:t>
      </w:r>
    </w:p>
    <w:p w:rsidR="003247D5" w:rsidRPr="00FE638E" w:rsidRDefault="00F532C3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pict>
          <v:line id="Łącznik prostoliniowy 4" o:spid="_x0000_s1027" style="position:absolute;left:0;text-align:left;flip:y;z-index:251661312;visibility:visible" from="61.2pt,13.55pt" to="457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jB5AEAAPcDAAAOAAAAZHJzL2Uyb0RvYy54bWysU8GO0zAQvSPxD5bvNGlpV0vUdA+7Wi4I&#10;Kli4e51xa2F7LNs0KTcO/Bn8F2OnDWgXIYG4WLE97817z5P11WANO0CIGl3L57OaM3ASO+12LX9/&#10;d/vskrOYhOuEQQctP0LkV5unT9a9b2CBezQdBEYkLja9b/k+Jd9UVZR7sCLO0IOjS4XBikTbsKu6&#10;IHpit6Za1PVF1WPofEAJMdLpzXjJN4VfKZDpjVIREjMtJ22prKGs93mtNmvR7ILwey1PMsQ/qLBC&#10;O2o6Ud2IJNinoB9RWS0DRlRpJtFWqJSWUDyQm3n9wM27vfBQvFA40U8xxf9HK18ftoHpruVLzpyw&#10;9ETfv3z7Kj87/ZFRrjGh0U5jf2TLHFbvY0OYa7cNp13025CdDypYpoz2H2gOShbkjg0l6uMUNQyJ&#10;STpc1c8vLhf0IpLu5qvFsjxFNdJkOh9iegloSUSkVyMROQnRiMOrmKg1lZ5L8rFxrG/5i9ViVaoc&#10;3mpjxjLjqDrrHpWWr3Q0MMLegiL7pGjUXAYPrk1gB0EjI6QEl+bZOTU0jqozTBH5BKxLxz8CT/UZ&#10;CmUo/wY8IUpndGkCW+0w/K57Gs6S1Vh/TmD0nSO4x+5Y3rBEQ9NVHJ7+hDy+v+4L/Of/uvkBAAD/&#10;/wMAUEsDBBQABgAIAAAAIQD7QnA93wAAAAkBAAAPAAAAZHJzL2Rvd25yZXYueG1sTI/LTsMwEEX3&#10;SPyDNUjsqBOLFprGqQoIVrCgoK7d2Hko8Ti1nSbw9QwrWN6Zoztn8u1se3Y2PrQOJaSLBJjB0ukW&#10;awmfH88398BCVKhV79BI+DIBtsXlRa4y7SZ8N+d9rBmVYMiUhCbGIeM8lI2xKizcYJB2lfNWRYq+&#10;5tqricptz0WSrLhVLdKFRg3msTFltx+thLHr7NPh9a2axupl578fTvUkTlJeX827DbBo5vgHw68+&#10;qUNBTkc3og6spyzELaESxF0KjIB1ulwBO9JgvQRe5Pz/B8UPAAAA//8DAFBLAQItABQABgAIAAAA&#10;IQC2gziS/gAAAOEBAAATAAAAAAAAAAAAAAAAAAAAAABbQ29udGVudF9UeXBlc10ueG1sUEsBAi0A&#10;FAAGAAgAAAAhADj9If/WAAAAlAEAAAsAAAAAAAAAAAAAAAAALwEAAF9yZWxzLy5yZWxzUEsBAi0A&#10;FAAGAAgAAAAhAN4LaMHkAQAA9wMAAA4AAAAAAAAAAAAAAAAALgIAAGRycy9lMm9Eb2MueG1sUEsB&#10;Ai0AFAAGAAgAAAAhAPtCcD3fAAAACQEAAA8AAAAAAAAAAAAAAAAAPgQAAGRycy9kb3ducmV2Lnht&#10;bFBLBQYAAAAABAAEAPMAAABKBQAAAAA=&#10;" stroked="f"/>
        </w:pict>
      </w:r>
    </w:p>
    <w:p w:rsidR="00EB33FA" w:rsidRDefault="00EB33FA" w:rsidP="00FE638E">
      <w:pPr>
        <w:tabs>
          <w:tab w:val="left" w:pos="1572"/>
        </w:tabs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D08D2" w:rsidRPr="000436E6" w:rsidRDefault="009D08D2" w:rsidP="000436E6">
      <w:pPr>
        <w:tabs>
          <w:tab w:val="left" w:pos="1572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9D08D2" w:rsidRPr="000436E6" w:rsidSect="00AD3DAF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6D" w:rsidRDefault="00935E6D" w:rsidP="00906A89">
      <w:pPr>
        <w:spacing w:after="0" w:line="240" w:lineRule="auto"/>
      </w:pPr>
      <w:r>
        <w:separator/>
      </w:r>
    </w:p>
  </w:endnote>
  <w:endnote w:type="continuationSeparator" w:id="0">
    <w:p w:rsidR="00935E6D" w:rsidRDefault="00935E6D" w:rsidP="0090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6D" w:rsidRDefault="00935E6D" w:rsidP="00906A89">
      <w:pPr>
        <w:spacing w:after="0" w:line="240" w:lineRule="auto"/>
      </w:pPr>
      <w:r>
        <w:separator/>
      </w:r>
    </w:p>
  </w:footnote>
  <w:footnote w:type="continuationSeparator" w:id="0">
    <w:p w:rsidR="00935E6D" w:rsidRDefault="00935E6D" w:rsidP="00906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87"/>
    <w:multiLevelType w:val="hybridMultilevel"/>
    <w:tmpl w:val="4302031C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75318"/>
    <w:multiLevelType w:val="hybridMultilevel"/>
    <w:tmpl w:val="F19C8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63775"/>
    <w:multiLevelType w:val="hybridMultilevel"/>
    <w:tmpl w:val="C0E0E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24173"/>
    <w:multiLevelType w:val="multilevel"/>
    <w:tmpl w:val="341C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3500"/>
    <w:multiLevelType w:val="multilevel"/>
    <w:tmpl w:val="D9A8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D2FCA"/>
    <w:multiLevelType w:val="multilevel"/>
    <w:tmpl w:val="435A58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642D7"/>
    <w:multiLevelType w:val="multilevel"/>
    <w:tmpl w:val="08865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03759"/>
    <w:multiLevelType w:val="hybridMultilevel"/>
    <w:tmpl w:val="15DE368C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B2CF1"/>
    <w:multiLevelType w:val="hybridMultilevel"/>
    <w:tmpl w:val="97540F1A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0633D"/>
    <w:multiLevelType w:val="hybridMultilevel"/>
    <w:tmpl w:val="AB1CC1C0"/>
    <w:lvl w:ilvl="0" w:tplc="738C4D1E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72F"/>
    <w:multiLevelType w:val="multilevel"/>
    <w:tmpl w:val="A064A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135C06"/>
    <w:multiLevelType w:val="hybridMultilevel"/>
    <w:tmpl w:val="33E8B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535D2"/>
    <w:multiLevelType w:val="multilevel"/>
    <w:tmpl w:val="D84E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20568"/>
    <w:multiLevelType w:val="hybridMultilevel"/>
    <w:tmpl w:val="28164E88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23EB7"/>
    <w:multiLevelType w:val="multilevel"/>
    <w:tmpl w:val="6EF4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446049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26E2"/>
    <w:multiLevelType w:val="hybridMultilevel"/>
    <w:tmpl w:val="CE925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21C3"/>
    <w:multiLevelType w:val="hybridMultilevel"/>
    <w:tmpl w:val="F91C6290"/>
    <w:lvl w:ilvl="0" w:tplc="6E82E4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16AD5"/>
    <w:multiLevelType w:val="multilevel"/>
    <w:tmpl w:val="B15EF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C0E41"/>
    <w:multiLevelType w:val="multilevel"/>
    <w:tmpl w:val="2DCA14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9259C7"/>
    <w:multiLevelType w:val="multilevel"/>
    <w:tmpl w:val="F5D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7022F9"/>
    <w:multiLevelType w:val="hybridMultilevel"/>
    <w:tmpl w:val="DBB2B434"/>
    <w:lvl w:ilvl="0" w:tplc="C35C4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F2741"/>
    <w:multiLevelType w:val="hybridMultilevel"/>
    <w:tmpl w:val="60D8C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20A4A"/>
    <w:multiLevelType w:val="multilevel"/>
    <w:tmpl w:val="F7E818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6C0773"/>
    <w:multiLevelType w:val="multilevel"/>
    <w:tmpl w:val="D19C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364CFB"/>
    <w:multiLevelType w:val="hybridMultilevel"/>
    <w:tmpl w:val="79F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918AA"/>
    <w:multiLevelType w:val="hybridMultilevel"/>
    <w:tmpl w:val="BB6A4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3"/>
  </w:num>
  <w:num w:numId="5">
    <w:abstractNumId w:val="4"/>
  </w:num>
  <w:num w:numId="6">
    <w:abstractNumId w:val="16"/>
  </w:num>
  <w:num w:numId="7">
    <w:abstractNumId w:val="18"/>
  </w:num>
  <w:num w:numId="8">
    <w:abstractNumId w:val="9"/>
  </w:num>
  <w:num w:numId="9">
    <w:abstractNumId w:val="6"/>
  </w:num>
  <w:num w:numId="10">
    <w:abstractNumId w:val="7"/>
  </w:num>
  <w:num w:numId="11">
    <w:abstractNumId w:val="17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22"/>
  </w:num>
  <w:num w:numId="18">
    <w:abstractNumId w:val="25"/>
  </w:num>
  <w:num w:numId="19">
    <w:abstractNumId w:val="26"/>
  </w:num>
  <w:num w:numId="20">
    <w:abstractNumId w:val="11"/>
  </w:num>
  <w:num w:numId="21">
    <w:abstractNumId w:val="19"/>
  </w:num>
  <w:num w:numId="22">
    <w:abstractNumId w:val="8"/>
  </w:num>
  <w:num w:numId="23">
    <w:abstractNumId w:val="21"/>
  </w:num>
  <w:num w:numId="24">
    <w:abstractNumId w:val="13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99B"/>
    <w:rsid w:val="000436E6"/>
    <w:rsid w:val="00046E3C"/>
    <w:rsid w:val="00066F85"/>
    <w:rsid w:val="00123F21"/>
    <w:rsid w:val="0014132F"/>
    <w:rsid w:val="00191922"/>
    <w:rsid w:val="002015DD"/>
    <w:rsid w:val="002B497D"/>
    <w:rsid w:val="002E1E26"/>
    <w:rsid w:val="002F3101"/>
    <w:rsid w:val="00306BCE"/>
    <w:rsid w:val="003247D5"/>
    <w:rsid w:val="00340CE0"/>
    <w:rsid w:val="00361265"/>
    <w:rsid w:val="00372DBA"/>
    <w:rsid w:val="00397555"/>
    <w:rsid w:val="004130D3"/>
    <w:rsid w:val="004E28E6"/>
    <w:rsid w:val="004E4AF1"/>
    <w:rsid w:val="00522010"/>
    <w:rsid w:val="00565C05"/>
    <w:rsid w:val="005A1CF7"/>
    <w:rsid w:val="005B2F44"/>
    <w:rsid w:val="006103E6"/>
    <w:rsid w:val="00761263"/>
    <w:rsid w:val="007660FC"/>
    <w:rsid w:val="007878F0"/>
    <w:rsid w:val="007D391F"/>
    <w:rsid w:val="00847F82"/>
    <w:rsid w:val="00885ECF"/>
    <w:rsid w:val="008A4CD4"/>
    <w:rsid w:val="008C6565"/>
    <w:rsid w:val="008C6746"/>
    <w:rsid w:val="0090330E"/>
    <w:rsid w:val="00906A89"/>
    <w:rsid w:val="00935E6D"/>
    <w:rsid w:val="00955633"/>
    <w:rsid w:val="00967485"/>
    <w:rsid w:val="009710D6"/>
    <w:rsid w:val="009D08D2"/>
    <w:rsid w:val="00A75B53"/>
    <w:rsid w:val="00A94F36"/>
    <w:rsid w:val="00AD3DAF"/>
    <w:rsid w:val="00B45C8E"/>
    <w:rsid w:val="00B577AB"/>
    <w:rsid w:val="00B94030"/>
    <w:rsid w:val="00BC5809"/>
    <w:rsid w:val="00BE4DA8"/>
    <w:rsid w:val="00BF4D1E"/>
    <w:rsid w:val="00C17579"/>
    <w:rsid w:val="00C437DE"/>
    <w:rsid w:val="00C620F2"/>
    <w:rsid w:val="00C62148"/>
    <w:rsid w:val="00CA7923"/>
    <w:rsid w:val="00CB7C53"/>
    <w:rsid w:val="00D121DB"/>
    <w:rsid w:val="00D24489"/>
    <w:rsid w:val="00D5399B"/>
    <w:rsid w:val="00DD2B21"/>
    <w:rsid w:val="00DE3103"/>
    <w:rsid w:val="00E07677"/>
    <w:rsid w:val="00E2643B"/>
    <w:rsid w:val="00E33BD0"/>
    <w:rsid w:val="00E541E8"/>
    <w:rsid w:val="00EA3306"/>
    <w:rsid w:val="00EB33FA"/>
    <w:rsid w:val="00ED190B"/>
    <w:rsid w:val="00EF159E"/>
    <w:rsid w:val="00F43220"/>
    <w:rsid w:val="00F532C3"/>
    <w:rsid w:val="00F55D1A"/>
    <w:rsid w:val="00F601AC"/>
    <w:rsid w:val="00FC5EC0"/>
    <w:rsid w:val="00FE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36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0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6A89"/>
  </w:style>
  <w:style w:type="paragraph" w:styleId="Stopka">
    <w:name w:val="footer"/>
    <w:basedOn w:val="Normalny"/>
    <w:link w:val="StopkaZnak"/>
    <w:uiPriority w:val="99"/>
    <w:unhideWhenUsed/>
    <w:rsid w:val="00906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6A89"/>
  </w:style>
  <w:style w:type="paragraph" w:styleId="Akapitzlist">
    <w:name w:val="List Paragraph"/>
    <w:basedOn w:val="Normalny"/>
    <w:uiPriority w:val="34"/>
    <w:qFormat/>
    <w:rsid w:val="00522010"/>
    <w:pPr>
      <w:ind w:left="720"/>
      <w:contextualSpacing/>
    </w:pPr>
  </w:style>
  <w:style w:type="paragraph" w:customStyle="1" w:styleId="Default">
    <w:name w:val="Default"/>
    <w:rsid w:val="00D12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5EC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3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krasni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kskorupa</dc:creator>
  <cp:lastModifiedBy>kmachulak</cp:lastModifiedBy>
  <cp:revision>6</cp:revision>
  <cp:lastPrinted>2019-02-25T11:20:00Z</cp:lastPrinted>
  <dcterms:created xsi:type="dcterms:W3CDTF">2023-02-06T08:40:00Z</dcterms:created>
  <dcterms:modified xsi:type="dcterms:W3CDTF">2023-02-21T11:11:00Z</dcterms:modified>
</cp:coreProperties>
</file>