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F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65" w:rsidRDefault="00361265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OBSZAR A – Zadanie 1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Dofinansowanie zakupu i montażu oprzyrządowania do posiadanego  samochodu</w:t>
      </w:r>
      <w:r w:rsidR="00807450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dla osób         z orzeczeniem o niepełnosprawności (do 16 roku życia) lub osób ze znacznym albo umiarkowanym stopniem niepełnosprawności, z dysfunkcją narządu ruchu</w:t>
      </w:r>
    </w:p>
    <w:p w:rsidR="00340CE0" w:rsidRPr="00B54CB5" w:rsidRDefault="004F7529" w:rsidP="00D5399B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4F7529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umiarkowany stopień niepełnosprawności lub</w:t>
      </w:r>
      <w:r w:rsidR="00807450"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przypadku osób do 16 roku życia</w:t>
      </w:r>
      <w:r w:rsidR="00A22DBB"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orzeczenie o niepełnosprawności,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wiek do lat 18 lub wiek aktywności zawodowej lub zatrudnienie,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ruchu;</w:t>
      </w:r>
    </w:p>
    <w:p w:rsidR="00B45C8E" w:rsidRPr="00807450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8DB3E2" w:themeColor="text2" w:themeTint="66"/>
          <w:sz w:val="14"/>
          <w:szCs w:val="24"/>
          <w:lang w:eastAsia="pl-PL"/>
        </w:rPr>
      </w:pPr>
    </w:p>
    <w:p w:rsid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B54CB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maksymalna kwota dofinansowania </w:t>
      </w:r>
      <w:r w:rsidR="008F664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807450"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.000</w:t>
      </w:r>
      <w:r w:rsidR="00F96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zł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czego na zakup </w:t>
      </w:r>
      <w:r w:rsidR="00C63B33">
        <w:rPr>
          <w:rFonts w:asciiTheme="majorHAnsi" w:eastAsia="Times New Roman" w:hAnsiTheme="majorHAnsi" w:cs="Times New Roman"/>
          <w:sz w:val="24"/>
          <w:szCs w:val="24"/>
          <w:lang w:eastAsia="pl-PL"/>
        </w:rPr>
        <w:t>niestacjonarnego/mobilnego fotela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/fotelika do przewozu osoby niepełnosprawnej – </w:t>
      </w:r>
      <w:r w:rsidR="008F664D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>.000</w:t>
      </w:r>
      <w:r w:rsidR="00F96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>zł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B54CB5" w:rsidRPr="00807450" w:rsidRDefault="00B54CB5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 wyłącznie kosztów poniesionych po zawarciu umowy dofinansowania.</w:t>
      </w:r>
    </w:p>
    <w:p w:rsidR="00B45C8E" w:rsidRPr="001413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  <w:lang w:eastAsia="pl-PL"/>
        </w:rPr>
      </w:pPr>
    </w:p>
    <w:p w:rsidR="00B45C8E" w:rsidRPr="00807450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8DB3E2" w:themeColor="text2" w:themeTint="66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15% ceny brutto zakupu/usługi;</w:t>
      </w:r>
    </w:p>
    <w:p w:rsidR="00B45C8E" w:rsidRPr="001413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  <w:lang w:eastAsia="pl-PL"/>
        </w:rPr>
      </w:pP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</w:p>
    <w:p w:rsidR="00B45C8E" w:rsidRPr="00937C99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B45C8E">
        <w:rPr>
          <w:rFonts w:asciiTheme="majorHAnsi" w:eastAsia="Times New Roman" w:hAnsiTheme="majorHAnsi"/>
          <w:b/>
          <w:color w:val="FF0000"/>
          <w:sz w:val="22"/>
          <w:lang w:eastAsia="pl-PL"/>
        </w:rPr>
        <w:t xml:space="preserve">OPRZYRZĄDOWANIE </w:t>
      </w:r>
      <w:r w:rsidRPr="008F61B6">
        <w:rPr>
          <w:rFonts w:asciiTheme="majorHAnsi" w:eastAsia="Times New Roman" w:hAnsiTheme="majorHAnsi"/>
          <w:b/>
          <w:color w:val="FF0000"/>
          <w:sz w:val="22"/>
          <w:lang w:eastAsia="pl-PL"/>
        </w:rPr>
        <w:t>SAMOCHODU</w:t>
      </w:r>
      <w:r w:rsidRPr="00807450">
        <w:rPr>
          <w:rFonts w:asciiTheme="majorHAnsi" w:eastAsia="Times New Roman" w:hAnsiTheme="majorHAnsi"/>
          <w:color w:val="8DB3E2" w:themeColor="text2" w:themeTint="66"/>
          <w:sz w:val="22"/>
          <w:lang w:eastAsia="pl-PL"/>
        </w:rPr>
        <w:t xml:space="preserve"> </w:t>
      </w:r>
      <w:r w:rsidRPr="00937C99">
        <w:rPr>
          <w:rFonts w:asciiTheme="majorHAnsi" w:eastAsia="Times New Roman" w:hAnsiTheme="majorHAnsi"/>
          <w:color w:val="auto"/>
          <w:sz w:val="22"/>
          <w:lang w:eastAsia="pl-PL"/>
        </w:rPr>
        <w:t xml:space="preserve">– </w:t>
      </w:r>
      <w:r w:rsidRPr="00937C99">
        <w:rPr>
          <w:rFonts w:asciiTheme="majorHAnsi" w:hAnsiTheme="majorHAnsi"/>
          <w:color w:val="auto"/>
          <w:sz w:val="22"/>
          <w:szCs w:val="23"/>
        </w:rPr>
        <w:t xml:space="preserve">należy przez to rozumieć dostosowane do indywidualnych potrzeb związanych z rodzajem niepełnosprawności adresata programu urządzenia (montowane fabrycznie lub dodatkowo) lub również wyposażenie samochodu, które umożliwia użytkowanie samochodu przez osobę niepełnosprawną z dysfunkcją ruchu lub przewożenie samochodem osoby niepełnosprawnej oraz niezbędnego sprzętu rehabilitacyjnego; do mobilnych przedmiotów można zaliczyć przykładowo: specjalny fotel pasażera, </w:t>
      </w:r>
      <w:r w:rsidRPr="00937C99">
        <w:rPr>
          <w:rFonts w:asciiTheme="majorHAnsi" w:hAnsiTheme="majorHAnsi"/>
          <w:color w:val="auto"/>
          <w:sz w:val="22"/>
          <w:szCs w:val="23"/>
        </w:rPr>
        <w:br/>
        <w:t xml:space="preserve">w tym fotelik dziecięcy, podnośnik lub najazd/podjazd/rampę podjazdową do wózka inwalidzkiego, dodatkowe pasy do mocowania wózka inwalidzkiego itp.; </w:t>
      </w:r>
    </w:p>
    <w:p w:rsidR="00B45C8E" w:rsidRPr="008F61B6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  <w:szCs w:val="23"/>
        </w:rPr>
      </w:pPr>
      <w:r w:rsidRPr="00B45C8E">
        <w:rPr>
          <w:rFonts w:asciiTheme="majorHAnsi" w:hAnsiTheme="majorHAnsi"/>
          <w:b/>
          <w:bCs/>
          <w:color w:val="FF0000"/>
          <w:sz w:val="22"/>
          <w:szCs w:val="23"/>
        </w:rPr>
        <w:t xml:space="preserve">DYSFUNKCJA NARZĄDU RUCHU </w:t>
      </w:r>
      <w:r w:rsidRPr="008F61B6">
        <w:rPr>
          <w:rFonts w:asciiTheme="majorHAnsi" w:hAnsiTheme="majorHAnsi"/>
          <w:color w:val="auto"/>
          <w:sz w:val="22"/>
          <w:szCs w:val="23"/>
        </w:rPr>
        <w:t xml:space="preserve">– należy przez to rozumieć dysfunkcję stanowiącą podstawę orzeczenia </w:t>
      </w:r>
      <w:r w:rsidRPr="008F61B6">
        <w:rPr>
          <w:rFonts w:asciiTheme="majorHAnsi" w:hAnsiTheme="majorHAnsi"/>
          <w:color w:val="auto"/>
          <w:sz w:val="22"/>
          <w:szCs w:val="23"/>
        </w:rPr>
        <w:br/>
        <w:t xml:space="preserve">o znacznym lub umiarkowanym stopniu niepełnosprawności (także orzeczenia o niepełnosprawności), </w:t>
      </w:r>
      <w:r w:rsidRPr="008F61B6">
        <w:rPr>
          <w:rFonts w:asciiTheme="majorHAnsi" w:hAnsiTheme="majorHAnsi"/>
          <w:color w:val="auto"/>
          <w:sz w:val="22"/>
          <w:szCs w:val="23"/>
        </w:rPr>
        <w:br/>
        <w:t xml:space="preserve">w przypadku osób niepełnosprawnych z dysfunkcją narządu ruchu, która nie jest przyczyną wydania orzeczenia dot. niepełnosprawności, ale jest konsekwencją ujętych w orzeczeniu schorzeń (np. o charakterze neurologicznym - symbol orzeczenia: 10-N lub całościowych zaburzeń rozwojowych - symbol orzeczenia: </w:t>
      </w:r>
      <w:r w:rsidR="0014132F" w:rsidRPr="008F61B6">
        <w:rPr>
          <w:rFonts w:asciiTheme="majorHAnsi" w:hAnsiTheme="majorHAnsi"/>
          <w:color w:val="auto"/>
          <w:sz w:val="22"/>
          <w:szCs w:val="23"/>
        </w:rPr>
        <w:br/>
      </w:r>
      <w:r w:rsidRPr="008F61B6">
        <w:rPr>
          <w:rFonts w:asciiTheme="majorHAnsi" w:hAnsiTheme="majorHAnsi"/>
          <w:color w:val="auto"/>
          <w:sz w:val="22"/>
          <w:szCs w:val="23"/>
        </w:rPr>
        <w:t xml:space="preserve">12-C), wnioski mogą zostać pozytywnie zweryfikowane pod względem formalnym pod warunkiem, że wnioskodawca dołączy do wniosku zaświadczenie lekarza specjalisty potwierdzające, iż następstwem schorzeń, stanowiących podstawę orzeczenia jest dysfunkcja narządu ruchu; </w:t>
      </w:r>
    </w:p>
    <w:p w:rsidR="00B45C8E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B45C8E">
        <w:rPr>
          <w:rFonts w:asciiTheme="majorHAnsi" w:eastAsia="Times New Roman" w:hAnsiTheme="majorHAnsi"/>
          <w:b/>
          <w:color w:val="FF0000"/>
          <w:sz w:val="22"/>
          <w:lang w:eastAsia="pl-PL"/>
        </w:rPr>
        <w:t>POSIADACZ SAMOCHODU</w:t>
      </w:r>
      <w:r w:rsidRPr="00B45C8E">
        <w:rPr>
          <w:rFonts w:asciiTheme="majorHAnsi" w:hAnsiTheme="majorHAnsi"/>
          <w:b/>
          <w:bCs/>
          <w:sz w:val="22"/>
        </w:rPr>
        <w:t xml:space="preserve"> </w:t>
      </w:r>
      <w:r w:rsidRPr="00F645B7">
        <w:rPr>
          <w:rFonts w:asciiTheme="majorHAnsi" w:hAnsiTheme="majorHAnsi"/>
          <w:color w:val="auto"/>
          <w:sz w:val="22"/>
        </w:rPr>
        <w:t>(w rozumieniu programu) – należy przez to rozumieć jego właściciela lub współwłaściciela; w przypadku osób niepełnoletnich i pozbawionych zdolności do czynności prawnych, posiadaczem samochodu jest wnioskodawca</w:t>
      </w:r>
      <w:r w:rsidR="00F645B7" w:rsidRPr="00F645B7">
        <w:rPr>
          <w:rFonts w:asciiTheme="majorHAnsi" w:hAnsiTheme="majorHAnsi"/>
          <w:color w:val="auto"/>
          <w:sz w:val="22"/>
        </w:rPr>
        <w:t xml:space="preserve"> (opiekun prawny lub przedstawiciel ustawowy); w przypadku, gdy wnioskodawca ubiega się </w:t>
      </w:r>
      <w:r w:rsidRPr="00F645B7">
        <w:rPr>
          <w:rFonts w:asciiTheme="majorHAnsi" w:hAnsiTheme="majorHAnsi"/>
          <w:color w:val="auto"/>
          <w:sz w:val="22"/>
        </w:rPr>
        <w:t xml:space="preserve">o dofinansowanie wyłącznie sprzętu/urządzeń mobilnych (niemontowanych </w:t>
      </w:r>
      <w:r w:rsidR="00F645B7" w:rsidRPr="00F645B7">
        <w:rPr>
          <w:rFonts w:asciiTheme="majorHAnsi" w:hAnsiTheme="majorHAnsi"/>
          <w:color w:val="auto"/>
          <w:sz w:val="22"/>
        </w:rPr>
        <w:t xml:space="preserve">      </w:t>
      </w:r>
      <w:r w:rsidRPr="00F645B7">
        <w:rPr>
          <w:rFonts w:asciiTheme="majorHAnsi" w:hAnsiTheme="majorHAnsi"/>
          <w:color w:val="auto"/>
          <w:sz w:val="22"/>
        </w:rPr>
        <w:t xml:space="preserve">w samochodzie na stałe), posiadanie samochodu może być udokumentowane aktualną umową (np. umowa użytkowania, najmu, użyczenia, dzierżawy itd.); </w:t>
      </w:r>
    </w:p>
    <w:p w:rsidR="00FF5BC6" w:rsidRPr="00FF5BC6" w:rsidRDefault="00FF5BC6" w:rsidP="00FF5BC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color w:val="00B050"/>
          <w:sz w:val="22"/>
        </w:rPr>
      </w:pPr>
      <w:r>
        <w:rPr>
          <w:rStyle w:val="Pogrubienie"/>
          <w:rFonts w:asciiTheme="majorHAnsi" w:hAnsiTheme="majorHAnsi"/>
          <w:color w:val="FF0000"/>
          <w:sz w:val="22"/>
        </w:rPr>
        <w:t xml:space="preserve">AKTYWNOŚĆ ZAWODOWA </w:t>
      </w:r>
      <w:r w:rsidRPr="00FF5BC6">
        <w:rPr>
          <w:rStyle w:val="Pogrubienie"/>
          <w:rFonts w:asciiTheme="majorHAnsi" w:hAnsiTheme="majorHAnsi"/>
          <w:b w:val="0"/>
          <w:sz w:val="22"/>
        </w:rPr>
        <w:t>- należy przez to rozumieć:</w:t>
      </w:r>
    </w:p>
    <w:p w:rsidR="00FF5BC6" w:rsidRPr="00FF5BC6" w:rsidRDefault="00FF5BC6" w:rsidP="00FF5BC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zatrudnienie, lub</w:t>
      </w:r>
    </w:p>
    <w:p w:rsidR="00FF5BC6" w:rsidRPr="00FF5BC6" w:rsidRDefault="00FF5BC6" w:rsidP="00FF5BC6">
      <w:pPr>
        <w:pStyle w:val="NormalnyWeb"/>
        <w:numPr>
          <w:ilvl w:val="0"/>
          <w:numId w:val="25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rejestrację w urzędzie pracy jako osoba bezrobotna, lub</w:t>
      </w:r>
    </w:p>
    <w:p w:rsidR="00FF5BC6" w:rsidRPr="00FF5BC6" w:rsidRDefault="00FF5BC6" w:rsidP="00FF5BC6">
      <w:pPr>
        <w:pStyle w:val="NormalnyWeb"/>
        <w:numPr>
          <w:ilvl w:val="0"/>
          <w:numId w:val="25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rejestrację w urzędzie pracy jako osoba poszukująca pracy i nie pozostająca w zatrudnieniu;</w:t>
      </w:r>
    </w:p>
    <w:p w:rsidR="00FF5BC6" w:rsidRPr="00FF5BC6" w:rsidRDefault="00FF5BC6" w:rsidP="00FF5BC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Okresy aktywności zawodowej w ramach ww. mogą się sumować, jeśli następują po sobie w okresie nie dłuższym niż 30 dni, przy czym czas przerwy nie wlicza się w okres aktywności.</w:t>
      </w:r>
    </w:p>
    <w:p w:rsidR="00FF5BC6" w:rsidRDefault="00FF5BC6" w:rsidP="00FF5BC6">
      <w:pPr>
        <w:pStyle w:val="Default"/>
        <w:jc w:val="both"/>
        <w:rPr>
          <w:color w:val="auto"/>
        </w:rPr>
      </w:pPr>
      <w:r>
        <w:rPr>
          <w:rFonts w:asciiTheme="majorHAnsi" w:hAnsiTheme="majorHAnsi"/>
          <w:b/>
          <w:bCs/>
          <w:color w:val="FF0000"/>
          <w:sz w:val="22"/>
        </w:rPr>
        <w:t>ZATRUDNIENIE</w:t>
      </w:r>
      <w:r>
        <w:rPr>
          <w:rFonts w:asciiTheme="majorHAnsi" w:hAnsiTheme="majorHAnsi"/>
          <w:color w:val="auto"/>
          <w:sz w:val="22"/>
        </w:rPr>
        <w:t xml:space="preserve"> – należy przez to rozumieć</w:t>
      </w:r>
      <w:r w:rsidR="00487382">
        <w:rPr>
          <w:rFonts w:asciiTheme="majorHAnsi" w:hAnsiTheme="majorHAnsi"/>
          <w:color w:val="auto"/>
          <w:sz w:val="22"/>
        </w:rPr>
        <w:t xml:space="preserve"> (na potrzeby programu)</w:t>
      </w:r>
      <w:r>
        <w:rPr>
          <w:rFonts w:asciiTheme="majorHAnsi" w:hAnsiTheme="majorHAnsi"/>
          <w:color w:val="auto"/>
          <w:sz w:val="22"/>
        </w:rPr>
        <w:t xml:space="preserve">: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stosunek pracy na podstawie umowy o pracę, zawartej na czas nieokreślony lub określony, jednakże nie krótszy niż 3 miesiące,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stosunek pracy na podstawie powołania, wyboru, mianowania oraz spółdzielczej umowy </w:t>
      </w:r>
      <w:r>
        <w:rPr>
          <w:rFonts w:asciiTheme="majorHAnsi" w:hAnsiTheme="majorHAnsi"/>
          <w:color w:val="auto"/>
          <w:sz w:val="22"/>
          <w:szCs w:val="23"/>
        </w:rPr>
        <w:br/>
        <w:t xml:space="preserve">o pracę, jeżeli na podstawie przepisów szczególnych pracownik został powołany na czas określony; okres ten nie może być krótszy niż 3 miesiące,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lastRenderedPageBreak/>
        <w:t>działalność rolniczą w rozumieniu ustawy z dnia 20 grudnia 1990 r. o ubezpieczeniu sp</w:t>
      </w:r>
      <w:r w:rsidR="00363414">
        <w:rPr>
          <w:rFonts w:asciiTheme="majorHAnsi" w:hAnsiTheme="majorHAnsi"/>
          <w:color w:val="auto"/>
          <w:sz w:val="22"/>
          <w:szCs w:val="23"/>
        </w:rPr>
        <w:t>ołecznym roln</w:t>
      </w:r>
      <w:r w:rsidR="00BE2E14">
        <w:rPr>
          <w:rFonts w:asciiTheme="majorHAnsi" w:hAnsiTheme="majorHAnsi"/>
          <w:color w:val="auto"/>
          <w:sz w:val="22"/>
          <w:szCs w:val="23"/>
        </w:rPr>
        <w:t xml:space="preserve">ików </w:t>
      </w:r>
      <w:r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FF5BC6" w:rsidRDefault="00FF5BC6" w:rsidP="00FF5BC6">
      <w:pPr>
        <w:pStyle w:val="Default"/>
        <w:numPr>
          <w:ilvl w:val="0"/>
          <w:numId w:val="26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działalność gospodarczą w rozumieniu ustawy z dnia 6 marca 2018</w:t>
      </w:r>
      <w:r w:rsidR="00D97690">
        <w:rPr>
          <w:rFonts w:asciiTheme="majorHAnsi" w:hAnsiTheme="majorHAnsi"/>
          <w:color w:val="auto"/>
          <w:sz w:val="22"/>
          <w:szCs w:val="23"/>
        </w:rPr>
        <w:t xml:space="preserve"> </w:t>
      </w:r>
      <w:r>
        <w:rPr>
          <w:rFonts w:asciiTheme="majorHAnsi" w:hAnsiTheme="majorHAnsi"/>
          <w:color w:val="auto"/>
          <w:sz w:val="22"/>
          <w:szCs w:val="23"/>
        </w:rPr>
        <w:t>r. Prawo przed</w:t>
      </w:r>
      <w:r w:rsidR="00BE2E14">
        <w:rPr>
          <w:rFonts w:asciiTheme="majorHAnsi" w:hAnsiTheme="majorHAnsi"/>
          <w:color w:val="auto"/>
          <w:sz w:val="22"/>
          <w:szCs w:val="23"/>
        </w:rPr>
        <w:t>siębiorców</w:t>
      </w:r>
      <w:r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FF5BC6" w:rsidRDefault="00FF5BC6" w:rsidP="00FF5BC6">
      <w:pPr>
        <w:pStyle w:val="Default"/>
        <w:numPr>
          <w:ilvl w:val="0"/>
          <w:numId w:val="26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zatrudnienie na podstawie umowy cywilnoprawnej, zawartej na okres nie krótszy niż 6 miesięcy (okresy obowiązywania umów następujących po sobie, sumują się), </w:t>
      </w:r>
    </w:p>
    <w:p w:rsidR="0023385F" w:rsidRDefault="0023385F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w przypadku modułu I :</w:t>
      </w:r>
    </w:p>
    <w:p w:rsidR="00FF5BC6" w:rsidRDefault="0023385F" w:rsidP="0023385F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- </w:t>
      </w:r>
      <w:r w:rsidR="00FF5BC6">
        <w:rPr>
          <w:rFonts w:asciiTheme="majorHAnsi" w:hAnsiTheme="majorHAnsi"/>
          <w:color w:val="auto"/>
          <w:sz w:val="22"/>
          <w:szCs w:val="23"/>
        </w:rPr>
        <w:t>staż zawodowy w rozumieniu ustawy z dnia 20 kwietnia 2</w:t>
      </w:r>
      <w:r>
        <w:rPr>
          <w:rFonts w:asciiTheme="majorHAnsi" w:hAnsiTheme="majorHAnsi"/>
          <w:color w:val="auto"/>
          <w:sz w:val="22"/>
          <w:szCs w:val="23"/>
        </w:rPr>
        <w:t xml:space="preserve">004 r. o promocji zatrudnienia </w:t>
      </w:r>
      <w:r w:rsidR="00FF5BC6">
        <w:rPr>
          <w:rFonts w:asciiTheme="majorHAnsi" w:hAnsiTheme="majorHAnsi"/>
          <w:color w:val="auto"/>
          <w:sz w:val="22"/>
          <w:szCs w:val="23"/>
        </w:rPr>
        <w:t>i inst</w:t>
      </w:r>
      <w:r w:rsidR="00F859FC">
        <w:rPr>
          <w:rFonts w:asciiTheme="majorHAnsi" w:hAnsiTheme="majorHAnsi"/>
          <w:color w:val="auto"/>
          <w:sz w:val="22"/>
          <w:szCs w:val="23"/>
        </w:rPr>
        <w:t>ytucjach rynku pracy</w:t>
      </w:r>
      <w:r>
        <w:rPr>
          <w:rFonts w:asciiTheme="majorHAnsi" w:hAnsiTheme="majorHAnsi"/>
          <w:color w:val="auto"/>
          <w:sz w:val="22"/>
          <w:szCs w:val="23"/>
        </w:rPr>
        <w:t>,</w:t>
      </w:r>
    </w:p>
    <w:p w:rsidR="0023385F" w:rsidRDefault="0023385F" w:rsidP="0023385F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- </w:t>
      </w:r>
      <w:r w:rsidR="00324D97">
        <w:rPr>
          <w:rFonts w:asciiTheme="majorHAnsi" w:hAnsiTheme="majorHAnsi"/>
          <w:color w:val="auto"/>
          <w:sz w:val="22"/>
          <w:szCs w:val="23"/>
        </w:rPr>
        <w:t>wolontariat w rozumieniu ustawy z dnia 24 kwietnia 2003 r. o działalności pożytku publicznego            i o wolontari</w:t>
      </w:r>
      <w:r w:rsidR="00F859FC">
        <w:rPr>
          <w:rFonts w:asciiTheme="majorHAnsi" w:hAnsiTheme="majorHAnsi"/>
          <w:color w:val="auto"/>
          <w:sz w:val="22"/>
          <w:szCs w:val="23"/>
        </w:rPr>
        <w:t>acie</w:t>
      </w:r>
      <w:bookmarkStart w:id="0" w:name="_GoBack"/>
      <w:bookmarkEnd w:id="0"/>
      <w:r w:rsidR="00324D97">
        <w:rPr>
          <w:rFonts w:asciiTheme="majorHAnsi" w:hAnsiTheme="majorHAnsi"/>
          <w:color w:val="auto"/>
          <w:sz w:val="22"/>
          <w:szCs w:val="23"/>
        </w:rPr>
        <w:t xml:space="preserve">, jeśli porozumienie z korzystającym obejmuje co najmniej 6 miesięcy i trwa na dzień złożenia wniosku oraz </w:t>
      </w:r>
      <w:r w:rsidR="002C1F71">
        <w:rPr>
          <w:rFonts w:asciiTheme="majorHAnsi" w:hAnsiTheme="majorHAnsi"/>
          <w:color w:val="auto"/>
          <w:sz w:val="22"/>
          <w:szCs w:val="23"/>
        </w:rPr>
        <w:t>z</w:t>
      </w:r>
      <w:r w:rsidR="00324D97">
        <w:rPr>
          <w:rFonts w:asciiTheme="majorHAnsi" w:hAnsiTheme="majorHAnsi"/>
          <w:color w:val="auto"/>
          <w:sz w:val="22"/>
          <w:szCs w:val="23"/>
        </w:rPr>
        <w:t>awarcia umowy dofinansowania</w:t>
      </w:r>
      <w:r w:rsidR="002C1F71">
        <w:rPr>
          <w:rFonts w:asciiTheme="majorHAnsi" w:hAnsiTheme="majorHAnsi"/>
          <w:color w:val="auto"/>
          <w:sz w:val="22"/>
          <w:szCs w:val="23"/>
        </w:rPr>
        <w:t>,</w:t>
      </w:r>
    </w:p>
    <w:p w:rsidR="00FF5BC6" w:rsidRDefault="00FF5BC6" w:rsidP="00FF5BC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Fonts w:asciiTheme="majorHAnsi" w:hAnsiTheme="majorHAnsi"/>
          <w:sz w:val="22"/>
          <w:szCs w:val="23"/>
        </w:rPr>
        <w:t xml:space="preserve">Okresy zatrudnienia wnioskodawcy w ramach ww. mogą się sumować, jeśli następują po sobie </w:t>
      </w:r>
      <w:r>
        <w:rPr>
          <w:rFonts w:asciiTheme="majorHAnsi" w:hAnsiTheme="majorHAnsi"/>
          <w:sz w:val="22"/>
          <w:szCs w:val="23"/>
        </w:rPr>
        <w:br/>
        <w:t>w okresie nie dłuższym niż 30 dni, przy czym czas przerwy nie wlicza się w okres zatrudnienia.</w:t>
      </w:r>
    </w:p>
    <w:p w:rsidR="00FF5BC6" w:rsidRPr="00F645B7" w:rsidRDefault="00FF5BC6" w:rsidP="00B45C8E">
      <w:pPr>
        <w:pStyle w:val="Default"/>
        <w:jc w:val="both"/>
        <w:rPr>
          <w:rStyle w:val="Pogrubienie"/>
          <w:rFonts w:asciiTheme="majorHAnsi" w:hAnsiTheme="majorHAnsi"/>
          <w:b w:val="0"/>
          <w:bCs w:val="0"/>
          <w:color w:val="auto"/>
          <w:sz w:val="22"/>
        </w:rPr>
      </w:pPr>
    </w:p>
    <w:p w:rsidR="007269A6" w:rsidRDefault="007269A6" w:rsidP="007269A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7269A6" w:rsidRDefault="007269A6" w:rsidP="007269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7269A6" w:rsidRDefault="007269A6" w:rsidP="007269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7269A6" w:rsidRDefault="007269A6" w:rsidP="007269A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14132F" w:rsidRDefault="0014132F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</w:p>
    <w:p w:rsidR="00AD3DAF" w:rsidRPr="00AD3DAF" w:rsidRDefault="00FC5EC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FC5EC0" w:rsidRPr="00A75B53" w:rsidRDefault="00FC5EC0" w:rsidP="007D391F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</w:p>
    <w:p w:rsidR="00FC5EC0" w:rsidRPr="00A75B53" w:rsidRDefault="00FC5EC0" w:rsidP="00F645B7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3247D5" w:rsidRDefault="004F7529" w:rsidP="003247D5">
      <w:pPr>
        <w:tabs>
          <w:tab w:val="left" w:pos="1572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9D08D2" w:rsidRPr="007269A6" w:rsidRDefault="009D08D2" w:rsidP="007269A6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sectPr w:rsidR="009D08D2" w:rsidRPr="007269A6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A8" w:rsidRDefault="00360DA8" w:rsidP="00906A89">
      <w:pPr>
        <w:spacing w:after="0" w:line="240" w:lineRule="auto"/>
      </w:pPr>
      <w:r>
        <w:separator/>
      </w:r>
    </w:p>
  </w:endnote>
  <w:endnote w:type="continuationSeparator" w:id="0">
    <w:p w:rsidR="00360DA8" w:rsidRDefault="00360DA8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A8" w:rsidRDefault="00360DA8" w:rsidP="00906A89">
      <w:pPr>
        <w:spacing w:after="0" w:line="240" w:lineRule="auto"/>
      </w:pPr>
      <w:r>
        <w:separator/>
      </w:r>
    </w:p>
  </w:footnote>
  <w:footnote w:type="continuationSeparator" w:id="0">
    <w:p w:rsidR="00360DA8" w:rsidRDefault="00360DA8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B3"/>
    <w:multiLevelType w:val="hybridMultilevel"/>
    <w:tmpl w:val="665C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3B9E"/>
    <w:multiLevelType w:val="hybridMultilevel"/>
    <w:tmpl w:val="D63C6682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D1AE3"/>
    <w:multiLevelType w:val="hybridMultilevel"/>
    <w:tmpl w:val="6AB871B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17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9"/>
  </w:num>
  <w:num w:numId="13">
    <w:abstractNumId w:val="22"/>
  </w:num>
  <w:num w:numId="14">
    <w:abstractNumId w:val="13"/>
  </w:num>
  <w:num w:numId="15">
    <w:abstractNumId w:val="3"/>
  </w:num>
  <w:num w:numId="16">
    <w:abstractNumId w:val="9"/>
  </w:num>
  <w:num w:numId="17">
    <w:abstractNumId w:val="21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6E3C"/>
    <w:rsid w:val="00066F85"/>
    <w:rsid w:val="0014132F"/>
    <w:rsid w:val="0015325C"/>
    <w:rsid w:val="00171E7E"/>
    <w:rsid w:val="00191922"/>
    <w:rsid w:val="0023385F"/>
    <w:rsid w:val="002C1F71"/>
    <w:rsid w:val="003247D5"/>
    <w:rsid w:val="00324D97"/>
    <w:rsid w:val="00340CE0"/>
    <w:rsid w:val="00360DA8"/>
    <w:rsid w:val="00361265"/>
    <w:rsid w:val="00363414"/>
    <w:rsid w:val="004130D3"/>
    <w:rsid w:val="00487382"/>
    <w:rsid w:val="004E28E6"/>
    <w:rsid w:val="004E4AF1"/>
    <w:rsid w:val="004F7529"/>
    <w:rsid w:val="00522010"/>
    <w:rsid w:val="00565C05"/>
    <w:rsid w:val="00576F9A"/>
    <w:rsid w:val="006103E6"/>
    <w:rsid w:val="00656674"/>
    <w:rsid w:val="007269A6"/>
    <w:rsid w:val="007469F3"/>
    <w:rsid w:val="007D391F"/>
    <w:rsid w:val="007F1604"/>
    <w:rsid w:val="00807450"/>
    <w:rsid w:val="008A4CD4"/>
    <w:rsid w:val="008B57B8"/>
    <w:rsid w:val="008C6746"/>
    <w:rsid w:val="008F61B6"/>
    <w:rsid w:val="008F664D"/>
    <w:rsid w:val="00906A89"/>
    <w:rsid w:val="00933B0A"/>
    <w:rsid w:val="009362B5"/>
    <w:rsid w:val="00937C99"/>
    <w:rsid w:val="00967485"/>
    <w:rsid w:val="00973CA8"/>
    <w:rsid w:val="009D08D2"/>
    <w:rsid w:val="009F1FB6"/>
    <w:rsid w:val="00A22DBB"/>
    <w:rsid w:val="00A75B53"/>
    <w:rsid w:val="00A87D3D"/>
    <w:rsid w:val="00A94F36"/>
    <w:rsid w:val="00AD3DAF"/>
    <w:rsid w:val="00B45C8E"/>
    <w:rsid w:val="00B51736"/>
    <w:rsid w:val="00B54CB5"/>
    <w:rsid w:val="00B94030"/>
    <w:rsid w:val="00BE2E14"/>
    <w:rsid w:val="00C17579"/>
    <w:rsid w:val="00C620F2"/>
    <w:rsid w:val="00C62148"/>
    <w:rsid w:val="00C63B33"/>
    <w:rsid w:val="00C75D13"/>
    <w:rsid w:val="00D121DB"/>
    <w:rsid w:val="00D5399B"/>
    <w:rsid w:val="00D97690"/>
    <w:rsid w:val="00DD2B21"/>
    <w:rsid w:val="00DD7F4E"/>
    <w:rsid w:val="00DE3103"/>
    <w:rsid w:val="00E33AF4"/>
    <w:rsid w:val="00E33BD0"/>
    <w:rsid w:val="00E41385"/>
    <w:rsid w:val="00E541E8"/>
    <w:rsid w:val="00F40179"/>
    <w:rsid w:val="00F645B7"/>
    <w:rsid w:val="00F859FC"/>
    <w:rsid w:val="00F96D3D"/>
    <w:rsid w:val="00FA5F74"/>
    <w:rsid w:val="00FC5EC0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uiPriority w:val="99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6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uiPriority w:val="99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6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5</cp:revision>
  <cp:lastPrinted>2019-02-25T10:49:00Z</cp:lastPrinted>
  <dcterms:created xsi:type="dcterms:W3CDTF">2023-02-06T07:04:00Z</dcterms:created>
  <dcterms:modified xsi:type="dcterms:W3CDTF">2023-02-21T10:28:00Z</dcterms:modified>
</cp:coreProperties>
</file>